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D5" w:rsidRDefault="00347D61"/>
    <w:p w:rsidR="000F4EB7" w:rsidRDefault="000F4EB7">
      <w:pPr>
        <w:rPr>
          <w:b/>
          <w:sz w:val="28"/>
          <w:szCs w:val="28"/>
        </w:rPr>
      </w:pPr>
    </w:p>
    <w:p w:rsidR="00AD21F5" w:rsidRPr="00AD21F5" w:rsidRDefault="00AD21F5">
      <w:pPr>
        <w:rPr>
          <w:b/>
          <w:sz w:val="28"/>
          <w:szCs w:val="28"/>
        </w:rPr>
      </w:pPr>
      <w:r w:rsidRPr="00AD21F5">
        <w:rPr>
          <w:b/>
          <w:sz w:val="28"/>
          <w:szCs w:val="28"/>
        </w:rPr>
        <w:t>MODULO 1 – EMERGENZE!</w:t>
      </w:r>
    </w:p>
    <w:p w:rsidR="00AD21F5" w:rsidRDefault="00AD21F5">
      <w:pPr>
        <w:rPr>
          <w:sz w:val="28"/>
          <w:szCs w:val="28"/>
        </w:rPr>
      </w:pPr>
      <w:r>
        <w:rPr>
          <w:sz w:val="28"/>
          <w:szCs w:val="28"/>
        </w:rPr>
        <w:t xml:space="preserve">SCHEDA </w:t>
      </w:r>
      <w:r w:rsidR="00452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INSEGNANTE -  </w:t>
      </w:r>
    </w:p>
    <w:p w:rsidR="004525EF" w:rsidRDefault="003E271D">
      <w:pPr>
        <w:rPr>
          <w:sz w:val="28"/>
          <w:szCs w:val="28"/>
        </w:rPr>
      </w:pPr>
      <w:r>
        <w:rPr>
          <w:sz w:val="28"/>
          <w:szCs w:val="28"/>
        </w:rPr>
        <w:t>BREVE INTRODUZIONE</w:t>
      </w:r>
    </w:p>
    <w:p w:rsidR="004525EF" w:rsidRPr="00967BAB" w:rsidRDefault="004525EF" w:rsidP="004525E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67BAB">
        <w:rPr>
          <w:rFonts w:eastAsia="Times New Roman" w:cs="Arial"/>
          <w:sz w:val="24"/>
          <w:szCs w:val="24"/>
          <w:lang w:eastAsia="it-IT"/>
        </w:rPr>
        <w:t>Più di</w:t>
      </w:r>
      <w:r w:rsidRPr="00967BAB">
        <w:rPr>
          <w:rFonts w:eastAsia="Times New Roman" w:cs="Arial"/>
          <w:b/>
          <w:bCs/>
          <w:sz w:val="24"/>
          <w:szCs w:val="24"/>
          <w:lang w:eastAsia="it-IT"/>
        </w:rPr>
        <w:t> 65 milioni di persone</w:t>
      </w:r>
      <w:r w:rsidRPr="00967BAB">
        <w:rPr>
          <w:rFonts w:eastAsia="Times New Roman" w:cs="Arial"/>
          <w:sz w:val="24"/>
          <w:szCs w:val="24"/>
          <w:lang w:eastAsia="it-IT"/>
        </w:rPr>
        <w:t> hanno dovuto abbandonare le proprie case a causa di conflitti e violenze sanguinose, perdendo casa, beni e affetti. A questi si aggiungono </w:t>
      </w:r>
      <w:r w:rsidRPr="00967BAB">
        <w:rPr>
          <w:rFonts w:eastAsia="Times New Roman" w:cs="Arial"/>
          <w:b/>
          <w:bCs/>
          <w:sz w:val="24"/>
          <w:szCs w:val="24"/>
          <w:lang w:eastAsia="it-IT"/>
        </w:rPr>
        <w:t>19 milioni</w:t>
      </w:r>
      <w:r w:rsidRPr="00967BAB">
        <w:rPr>
          <w:rFonts w:eastAsia="Times New Roman" w:cs="Arial"/>
          <w:sz w:val="24"/>
          <w:szCs w:val="24"/>
          <w:lang w:eastAsia="it-IT"/>
        </w:rPr>
        <w:t> in fuga da catastrofi naturali e effetti del cambiamento climatico. E i più vulnerabili e poveri, in primis donne e bambini, sono i più colpiti e le prime vittime.</w:t>
      </w:r>
    </w:p>
    <w:p w:rsidR="004525EF" w:rsidRPr="00967BAB" w:rsidRDefault="004525EF" w:rsidP="004525EF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it-IT"/>
        </w:rPr>
      </w:pPr>
      <w:r w:rsidRPr="00967BAB">
        <w:rPr>
          <w:rFonts w:eastAsia="Times New Roman" w:cs="Arial"/>
          <w:sz w:val="24"/>
          <w:szCs w:val="24"/>
          <w:lang w:eastAsia="it-IT"/>
        </w:rPr>
        <w:t>Le comunità più povere mancano di a</w:t>
      </w:r>
      <w:bookmarkStart w:id="0" w:name="_GoBack"/>
      <w:bookmarkEnd w:id="0"/>
      <w:r w:rsidRPr="00967BAB">
        <w:rPr>
          <w:rFonts w:eastAsia="Times New Roman" w:cs="Arial"/>
          <w:sz w:val="24"/>
          <w:szCs w:val="24"/>
          <w:lang w:eastAsia="it-IT"/>
        </w:rPr>
        <w:t>ccesso a diritti essenziali, come l’acqua o la salute: in questi contesti le </w:t>
      </w:r>
      <w:r w:rsidRPr="00967BAB">
        <w:rPr>
          <w:rFonts w:eastAsia="Times New Roman" w:cs="Arial"/>
          <w:b/>
          <w:bCs/>
          <w:sz w:val="24"/>
          <w:szCs w:val="24"/>
          <w:lang w:eastAsia="it-IT"/>
        </w:rPr>
        <w:t>epidemie</w:t>
      </w:r>
      <w:r w:rsidRPr="00967BAB">
        <w:rPr>
          <w:rFonts w:eastAsia="Times New Roman" w:cs="Arial"/>
          <w:sz w:val="24"/>
          <w:szCs w:val="24"/>
          <w:lang w:eastAsia="it-IT"/>
        </w:rPr>
        <w:t> si diffondono molto facilmente, e sono difficili da sradicare in soggetto già vulnerabili. I poveri inoltre devono spesso vivere su terre soggette a </w:t>
      </w:r>
      <w:r w:rsidRPr="00967BAB">
        <w:rPr>
          <w:rFonts w:eastAsia="Times New Roman" w:cs="Arial"/>
          <w:b/>
          <w:bCs/>
          <w:sz w:val="24"/>
          <w:szCs w:val="24"/>
          <w:lang w:eastAsia="it-IT"/>
        </w:rPr>
        <w:t>inondazioni e carestie</w:t>
      </w:r>
      <w:r w:rsidRPr="00967BAB">
        <w:rPr>
          <w:rFonts w:eastAsia="Times New Roman" w:cs="Arial"/>
          <w:sz w:val="24"/>
          <w:szCs w:val="24"/>
          <w:lang w:eastAsia="it-IT"/>
        </w:rPr>
        <w:t>. Eventi naturali ricorrenti, come piogge intense, possono così causare gravissimi danni, specialmente quando mancano i beni essenziali per farvi fronte. E, a meno che non si decida di agire prontamente, il </w:t>
      </w:r>
      <w:r w:rsidRPr="00967BAB">
        <w:rPr>
          <w:rFonts w:eastAsia="Times New Roman" w:cs="Arial"/>
          <w:b/>
          <w:bCs/>
          <w:sz w:val="24"/>
          <w:szCs w:val="24"/>
          <w:lang w:eastAsia="it-IT"/>
        </w:rPr>
        <w:t>cambiamento climatico</w:t>
      </w:r>
      <w:r w:rsidRPr="00967BAB">
        <w:rPr>
          <w:rFonts w:eastAsia="Times New Roman" w:cs="Arial"/>
          <w:sz w:val="24"/>
          <w:szCs w:val="24"/>
          <w:lang w:eastAsia="it-IT"/>
        </w:rPr>
        <w:t> porterà ulteriori disastri. Molte sono le comunità già colpite.</w:t>
      </w:r>
    </w:p>
    <w:p w:rsidR="004525EF" w:rsidRDefault="004525EF">
      <w:pPr>
        <w:rPr>
          <w:sz w:val="28"/>
          <w:szCs w:val="28"/>
        </w:rPr>
      </w:pPr>
    </w:p>
    <w:p w:rsidR="004525EF" w:rsidRDefault="003E271D">
      <w:pPr>
        <w:rPr>
          <w:sz w:val="28"/>
          <w:szCs w:val="28"/>
        </w:rPr>
      </w:pPr>
      <w:r>
        <w:rPr>
          <w:sz w:val="28"/>
          <w:szCs w:val="28"/>
        </w:rPr>
        <w:t xml:space="preserve">INFORMAZIONI UTILI </w:t>
      </w:r>
    </w:p>
    <w:p w:rsidR="00911E42" w:rsidRPr="00911E42" w:rsidRDefault="00911E42" w:rsidP="00911E42">
      <w:pPr>
        <w:pStyle w:val="Paragrafoelenco"/>
        <w:numPr>
          <w:ilvl w:val="0"/>
          <w:numId w:val="3"/>
        </w:numPr>
      </w:pPr>
      <w:r w:rsidRPr="00911E42">
        <w:rPr>
          <w:rStyle w:val="Enfasicorsivo"/>
          <w:rFonts w:cs="Arial"/>
          <w:color w:val="000000"/>
        </w:rPr>
        <w:t>L’ Emergenza umanitaria</w:t>
      </w:r>
      <w:r w:rsidRPr="00911E42">
        <w:rPr>
          <w:rFonts w:cs="Arial"/>
          <w:color w:val="000000"/>
        </w:rPr>
        <w:t xml:space="preserve"> è una situazione di emergenza determinata dalle gravi condizioni patite dalle popolazioni civili stanziate in zone di guerra e dai profughi costretti, a causa del conflitto, a lasciare le loro abitazioni.</w:t>
      </w:r>
    </w:p>
    <w:p w:rsidR="00911E42" w:rsidRPr="00911E42" w:rsidRDefault="00911E42" w:rsidP="00911E42">
      <w:pPr>
        <w:pStyle w:val="Paragrafoelenco"/>
      </w:pPr>
    </w:p>
    <w:p w:rsidR="00A95D91" w:rsidRPr="00A95D91" w:rsidRDefault="00911E42" w:rsidP="00911E42">
      <w:pPr>
        <w:pStyle w:val="Paragrafoelenco"/>
        <w:numPr>
          <w:ilvl w:val="0"/>
          <w:numId w:val="3"/>
        </w:numPr>
      </w:pPr>
      <w:r w:rsidRPr="00911E42">
        <w:rPr>
          <w:i/>
        </w:rPr>
        <w:t xml:space="preserve">La dichiarazione dello stato di emergenza nazionale </w:t>
      </w:r>
      <w:r w:rsidRPr="00911E42">
        <w:t xml:space="preserve">– che puo’ avere una durata di 180 giorni prorogabili per altrettanti una sola volta – </w:t>
      </w:r>
      <w:r w:rsidRPr="00911E42">
        <w:rPr>
          <w:b/>
        </w:rPr>
        <w:t>viene deliberato, su proposta del Capo del Dipartimento della Protezione civile, dal Consiglio dei Ministri</w:t>
      </w:r>
      <w:r>
        <w:t>.</w:t>
      </w:r>
      <w:r w:rsidRPr="00911E42">
        <w:t xml:space="preserve"> La delibera del Consiglio dei Ministri individua le risorse finanziarie destinate ai primi interventi di emergenza: assistenza alla popolazione, ripristino della funzionalita’ dei servizi pubblici e delle infrastrutture di reti strategiche, interventi per ridurre il rischio residuo</w:t>
      </w:r>
      <w:r w:rsidRPr="00911E42">
        <w:br/>
      </w:r>
      <w:r w:rsidRPr="00911E42">
        <w:rPr>
          <w:i/>
          <w:color w:val="000000"/>
          <w:shd w:val="clear" w:color="auto" w:fill="FFFFFF"/>
        </w:rPr>
        <w:t>Lo stato di calamita naturale</w:t>
      </w:r>
      <w:r w:rsidRPr="00911E42">
        <w:rPr>
          <w:color w:val="000000"/>
          <w:shd w:val="clear" w:color="auto" w:fill="FFFFFF"/>
        </w:rPr>
        <w:t xml:space="preserve">, invece, e’ uno strumento legato esclusivamente al settore agricolo: il suo riconoscimento, infatti, avviene per mezzo di un </w:t>
      </w:r>
      <w:r w:rsidRPr="004979A9">
        <w:rPr>
          <w:b/>
          <w:color w:val="000000"/>
          <w:shd w:val="clear" w:color="auto" w:fill="FFFFFF"/>
        </w:rPr>
        <w:t>decreto del Ministro delle Politiche agricole</w:t>
      </w:r>
      <w:r w:rsidRPr="00911E42">
        <w:rPr>
          <w:color w:val="000000"/>
          <w:shd w:val="clear" w:color="auto" w:fill="FFFFFF"/>
        </w:rPr>
        <w:t xml:space="preserve">, alimentari e forestali, </w:t>
      </w:r>
      <w:r w:rsidRPr="004979A9">
        <w:rPr>
          <w:b/>
          <w:color w:val="000000"/>
          <w:shd w:val="clear" w:color="auto" w:fill="FFFFFF"/>
        </w:rPr>
        <w:t>su proposta della Regione</w:t>
      </w:r>
      <w:r w:rsidRPr="00911E42">
        <w:rPr>
          <w:color w:val="000000"/>
          <w:shd w:val="clear" w:color="auto" w:fill="FFFFFF"/>
        </w:rPr>
        <w:t xml:space="preserve"> coinvolta.</w:t>
      </w:r>
    </w:p>
    <w:p w:rsidR="00A95D91" w:rsidRPr="00A95D91" w:rsidRDefault="00A95D91" w:rsidP="00A95D91">
      <w:pPr>
        <w:pStyle w:val="Paragrafoelenco"/>
        <w:rPr>
          <w:rFonts w:ascii="Verdana" w:hAnsi="Verdana"/>
          <w:color w:val="000000"/>
          <w:sz w:val="20"/>
          <w:szCs w:val="20"/>
        </w:rPr>
      </w:pPr>
    </w:p>
    <w:p w:rsidR="005C2F96" w:rsidRPr="008814C9" w:rsidRDefault="00A95D91" w:rsidP="00911E42">
      <w:pPr>
        <w:pStyle w:val="Paragrafoelenco"/>
        <w:numPr>
          <w:ilvl w:val="0"/>
          <w:numId w:val="3"/>
        </w:numPr>
      </w:pPr>
      <w:r w:rsidRPr="00A95D91">
        <w:rPr>
          <w:rFonts w:cs="Arial"/>
          <w:shd w:val="clear" w:color="auto" w:fill="FFFFFF"/>
        </w:rPr>
        <w:t>In</w:t>
      </w:r>
      <w:r w:rsidRPr="00A95D91">
        <w:rPr>
          <w:rStyle w:val="apple-converted-space"/>
          <w:rFonts w:cs="Arial"/>
          <w:shd w:val="clear" w:color="auto" w:fill="FFFFFF"/>
        </w:rPr>
        <w:t> </w:t>
      </w:r>
      <w:hyperlink r:id="rId7" w:tooltip="Climatologia" w:history="1">
        <w:r w:rsidRPr="00A95D91">
          <w:rPr>
            <w:rStyle w:val="Collegamentoipertestuale"/>
            <w:rFonts w:cs="Arial"/>
            <w:color w:val="auto"/>
            <w:u w:val="none"/>
            <w:shd w:val="clear" w:color="auto" w:fill="FFFFFF"/>
          </w:rPr>
          <w:t>climatologia</w:t>
        </w:r>
      </w:hyperlink>
      <w:r w:rsidRPr="00A95D91">
        <w:rPr>
          <w:rStyle w:val="apple-converted-space"/>
          <w:rFonts w:cs="Arial"/>
          <w:shd w:val="clear" w:color="auto" w:fill="FFFFFF"/>
        </w:rPr>
        <w:t> </w:t>
      </w:r>
      <w:r w:rsidRPr="00A95D91">
        <w:rPr>
          <w:rFonts w:cs="Arial"/>
          <w:b/>
          <w:bCs/>
          <w:shd w:val="clear" w:color="auto" w:fill="FFFFFF"/>
        </w:rPr>
        <w:t>El Niño-Oscillazione Meridionale</w:t>
      </w:r>
      <w:r w:rsidRPr="00A95D91">
        <w:rPr>
          <w:rFonts w:cs="Arial"/>
          <w:shd w:val="clear" w:color="auto" w:fill="FFFFFF"/>
        </w:rPr>
        <w:t>, conosciuto anche con la sigla</w:t>
      </w:r>
      <w:r w:rsidRPr="00A95D91">
        <w:rPr>
          <w:rStyle w:val="apple-converted-space"/>
          <w:rFonts w:cs="Arial"/>
          <w:shd w:val="clear" w:color="auto" w:fill="FFFFFF"/>
        </w:rPr>
        <w:t> </w:t>
      </w:r>
      <w:r w:rsidRPr="00A95D91">
        <w:rPr>
          <w:rFonts w:cs="Arial"/>
          <w:b/>
          <w:bCs/>
          <w:shd w:val="clear" w:color="auto" w:fill="FFFFFF"/>
        </w:rPr>
        <w:t>ENSO</w:t>
      </w:r>
      <w:r w:rsidRPr="00A95D91">
        <w:rPr>
          <w:rStyle w:val="apple-converted-space"/>
          <w:rFonts w:cs="Arial"/>
          <w:shd w:val="clear" w:color="auto" w:fill="FFFFFF"/>
        </w:rPr>
        <w:t> </w:t>
      </w:r>
      <w:r w:rsidRPr="00A95D91">
        <w:rPr>
          <w:rFonts w:cs="Arial"/>
          <w:shd w:val="clear" w:color="auto" w:fill="FFFFFF"/>
        </w:rPr>
        <w:t>(</w:t>
      </w:r>
      <w:r w:rsidRPr="00A95D91">
        <w:rPr>
          <w:rFonts w:cs="Arial"/>
          <w:b/>
          <w:bCs/>
          <w:shd w:val="clear" w:color="auto" w:fill="FFFFFF"/>
        </w:rPr>
        <w:t>E</w:t>
      </w:r>
      <w:r w:rsidRPr="00A95D91">
        <w:rPr>
          <w:rFonts w:cs="Arial"/>
          <w:shd w:val="clear" w:color="auto" w:fill="FFFFFF"/>
        </w:rPr>
        <w:t>l</w:t>
      </w:r>
      <w:r w:rsidRPr="00A95D91">
        <w:rPr>
          <w:rStyle w:val="apple-converted-space"/>
          <w:rFonts w:cs="Arial"/>
          <w:shd w:val="clear" w:color="auto" w:fill="FFFFFF"/>
        </w:rPr>
        <w:t> </w:t>
      </w:r>
      <w:r w:rsidRPr="00A95D91">
        <w:rPr>
          <w:rFonts w:cs="Arial"/>
          <w:b/>
          <w:bCs/>
          <w:shd w:val="clear" w:color="auto" w:fill="FFFFFF"/>
        </w:rPr>
        <w:t>N</w:t>
      </w:r>
      <w:r w:rsidRPr="00A95D91">
        <w:rPr>
          <w:rFonts w:cs="Arial"/>
          <w:shd w:val="clear" w:color="auto" w:fill="FFFFFF"/>
        </w:rPr>
        <w:t>iño-</w:t>
      </w:r>
      <w:r w:rsidRPr="00A95D91">
        <w:rPr>
          <w:rFonts w:cs="Arial"/>
          <w:b/>
          <w:bCs/>
          <w:shd w:val="clear" w:color="auto" w:fill="FFFFFF"/>
        </w:rPr>
        <w:t>S</w:t>
      </w:r>
      <w:r w:rsidRPr="00A95D91">
        <w:rPr>
          <w:rFonts w:cs="Arial"/>
          <w:shd w:val="clear" w:color="auto" w:fill="FFFFFF"/>
        </w:rPr>
        <w:t>outhern</w:t>
      </w:r>
      <w:r w:rsidRPr="00A95D91">
        <w:rPr>
          <w:rStyle w:val="apple-converted-space"/>
          <w:rFonts w:cs="Arial"/>
          <w:shd w:val="clear" w:color="auto" w:fill="FFFFFF"/>
        </w:rPr>
        <w:t> </w:t>
      </w:r>
      <w:r w:rsidRPr="00A95D91">
        <w:rPr>
          <w:rFonts w:cs="Arial"/>
          <w:b/>
          <w:bCs/>
          <w:shd w:val="clear" w:color="auto" w:fill="FFFFFF"/>
        </w:rPr>
        <w:t>O</w:t>
      </w:r>
      <w:r w:rsidRPr="00A95D91">
        <w:rPr>
          <w:rFonts w:cs="Arial"/>
          <w:shd w:val="clear" w:color="auto" w:fill="FFFFFF"/>
        </w:rPr>
        <w:t>scillation), è un fenomeno climatico periodico che provoca un forte riscaldamento delle acque dell'</w:t>
      </w:r>
      <w:hyperlink r:id="rId8" w:tooltip="Oceano Pacifico" w:history="1">
        <w:r w:rsidRPr="00A95D91">
          <w:rPr>
            <w:rStyle w:val="Collegamentoipertestuale"/>
            <w:rFonts w:cs="Arial"/>
            <w:color w:val="auto"/>
            <w:u w:val="none"/>
            <w:shd w:val="clear" w:color="auto" w:fill="FFFFFF"/>
          </w:rPr>
          <w:t>Oceano Pacifico</w:t>
        </w:r>
      </w:hyperlink>
      <w:r w:rsidRPr="00A95D91">
        <w:rPr>
          <w:rStyle w:val="apple-converted-space"/>
          <w:rFonts w:cs="Arial"/>
          <w:shd w:val="clear" w:color="auto" w:fill="FFFFFF"/>
        </w:rPr>
        <w:t> </w:t>
      </w:r>
      <w:r w:rsidRPr="00A95D91">
        <w:rPr>
          <w:rFonts w:cs="Arial"/>
          <w:shd w:val="clear" w:color="auto" w:fill="FFFFFF"/>
        </w:rPr>
        <w:t>Centro-Meridionale e Orientale (</w:t>
      </w:r>
      <w:hyperlink r:id="rId9" w:tooltip="America Latina" w:history="1">
        <w:r w:rsidRPr="00A95D91">
          <w:rPr>
            <w:rStyle w:val="Collegamentoipertestuale"/>
            <w:rFonts w:cs="Arial"/>
            <w:color w:val="auto"/>
            <w:u w:val="none"/>
            <w:shd w:val="clear" w:color="auto" w:fill="FFFFFF"/>
          </w:rPr>
          <w:t>America Latina</w:t>
        </w:r>
      </w:hyperlink>
      <w:r w:rsidRPr="00A95D91">
        <w:rPr>
          <w:rFonts w:cs="Arial"/>
          <w:shd w:val="clear" w:color="auto" w:fill="FFFFFF"/>
        </w:rPr>
        <w:t xml:space="preserve">), nei mesi di dicembre e gennaio, e in media ogni cinque anni, ma con un periodo statisticamente variabile fra i tre e i sette anni. </w:t>
      </w:r>
      <w:r w:rsidRPr="00A95D91">
        <w:rPr>
          <w:rFonts w:cs="Arial"/>
          <w:b/>
          <w:shd w:val="clear" w:color="auto" w:fill="FFFFFF"/>
        </w:rPr>
        <w:t>Il fenomeno provoca</w:t>
      </w:r>
      <w:r w:rsidRPr="00A95D91">
        <w:rPr>
          <w:rStyle w:val="apple-converted-space"/>
          <w:rFonts w:cs="Arial"/>
          <w:b/>
          <w:shd w:val="clear" w:color="auto" w:fill="FFFFFF"/>
        </w:rPr>
        <w:t> </w:t>
      </w:r>
      <w:hyperlink r:id="rId10" w:tooltip="Inondazione" w:history="1">
        <w:r w:rsidRPr="00A95D91">
          <w:rPr>
            <w:rStyle w:val="Collegamentoipertestuale"/>
            <w:rFonts w:cs="Arial"/>
            <w:b/>
            <w:color w:val="auto"/>
            <w:u w:val="none"/>
            <w:shd w:val="clear" w:color="auto" w:fill="FFFFFF"/>
          </w:rPr>
          <w:t>inondazioni</w:t>
        </w:r>
      </w:hyperlink>
      <w:r w:rsidRPr="00A95D91">
        <w:rPr>
          <w:rStyle w:val="apple-converted-space"/>
          <w:rFonts w:cs="Arial"/>
          <w:shd w:val="clear" w:color="auto" w:fill="FFFFFF"/>
        </w:rPr>
        <w:t> </w:t>
      </w:r>
      <w:r w:rsidRPr="00A95D91">
        <w:rPr>
          <w:rFonts w:cs="Arial"/>
          <w:shd w:val="clear" w:color="auto" w:fill="FFFFFF"/>
        </w:rPr>
        <w:t>nelle aree direttamente interessate, ma anche</w:t>
      </w:r>
      <w:r w:rsidRPr="00A95D91">
        <w:rPr>
          <w:rStyle w:val="apple-converted-space"/>
          <w:rFonts w:cs="Arial"/>
          <w:shd w:val="clear" w:color="auto" w:fill="FFFFFF"/>
        </w:rPr>
        <w:t> </w:t>
      </w:r>
      <w:hyperlink r:id="rId11" w:tooltip="Siccità" w:history="1">
        <w:r w:rsidRPr="00A95D91">
          <w:rPr>
            <w:rStyle w:val="Collegamentoipertestuale"/>
            <w:rFonts w:cs="Arial"/>
            <w:b/>
            <w:color w:val="auto"/>
            <w:u w:val="none"/>
            <w:shd w:val="clear" w:color="auto" w:fill="FFFFFF"/>
          </w:rPr>
          <w:t>siccità</w:t>
        </w:r>
      </w:hyperlink>
      <w:r w:rsidRPr="00A95D91">
        <w:rPr>
          <w:rStyle w:val="apple-converted-space"/>
          <w:rFonts w:cs="Arial"/>
          <w:shd w:val="clear" w:color="auto" w:fill="FFFFFF"/>
        </w:rPr>
        <w:t> </w:t>
      </w:r>
      <w:r w:rsidRPr="00A95D91">
        <w:rPr>
          <w:rFonts w:cs="Arial"/>
          <w:shd w:val="clear" w:color="auto" w:fill="FFFFFF"/>
        </w:rPr>
        <w:t xml:space="preserve">nelle zone più lontane da esso e </w:t>
      </w:r>
      <w:r w:rsidRPr="00A95D91">
        <w:rPr>
          <w:rFonts w:cs="Arial"/>
          <w:b/>
          <w:shd w:val="clear" w:color="auto" w:fill="FFFFFF"/>
        </w:rPr>
        <w:t>altre</w:t>
      </w:r>
      <w:r w:rsidRPr="00A95D91">
        <w:rPr>
          <w:rStyle w:val="apple-converted-space"/>
          <w:rFonts w:cs="Arial"/>
          <w:b/>
          <w:shd w:val="clear" w:color="auto" w:fill="FFFFFF"/>
        </w:rPr>
        <w:t> </w:t>
      </w:r>
      <w:hyperlink r:id="rId12" w:tooltip="Perturbazione (meteorologia)" w:history="1">
        <w:r w:rsidRPr="00A95D91">
          <w:rPr>
            <w:rStyle w:val="Collegamentoipertestuale"/>
            <w:rFonts w:cs="Arial"/>
            <w:b/>
            <w:color w:val="auto"/>
            <w:u w:val="none"/>
            <w:shd w:val="clear" w:color="auto" w:fill="FFFFFF"/>
          </w:rPr>
          <w:t>perturbazioni</w:t>
        </w:r>
      </w:hyperlink>
      <w:r w:rsidRPr="00A95D91">
        <w:rPr>
          <w:rStyle w:val="apple-converted-space"/>
          <w:rFonts w:cs="Arial"/>
          <w:shd w:val="clear" w:color="auto" w:fill="FFFFFF"/>
        </w:rPr>
        <w:t> </w:t>
      </w:r>
      <w:r w:rsidRPr="00A95D91">
        <w:rPr>
          <w:rFonts w:cs="Arial"/>
          <w:shd w:val="clear" w:color="auto" w:fill="FFFFFF"/>
        </w:rPr>
        <w:t>che variano a ogni sua manifestazione. I paesi in via di sviluppo che dipendono fortemente dall'</w:t>
      </w:r>
      <w:hyperlink r:id="rId13" w:tooltip="Agricoltura" w:history="1">
        <w:r w:rsidRPr="00A95D91">
          <w:rPr>
            <w:rStyle w:val="Collegamentoipertestuale"/>
            <w:rFonts w:cs="Arial"/>
            <w:color w:val="auto"/>
            <w:u w:val="none"/>
            <w:shd w:val="clear" w:color="auto" w:fill="FFFFFF"/>
          </w:rPr>
          <w:t>agricoltura</w:t>
        </w:r>
      </w:hyperlink>
      <w:r w:rsidRPr="00A95D91">
        <w:rPr>
          <w:rStyle w:val="apple-converted-space"/>
          <w:rFonts w:cs="Arial"/>
          <w:shd w:val="clear" w:color="auto" w:fill="FFFFFF"/>
        </w:rPr>
        <w:t> </w:t>
      </w:r>
      <w:r w:rsidRPr="00A95D91">
        <w:rPr>
          <w:rFonts w:cs="Arial"/>
          <w:shd w:val="clear" w:color="auto" w:fill="FFFFFF"/>
        </w:rPr>
        <w:t>e dalla</w:t>
      </w:r>
      <w:r w:rsidRPr="00A95D91">
        <w:rPr>
          <w:rStyle w:val="apple-converted-space"/>
          <w:rFonts w:cs="Arial"/>
          <w:shd w:val="clear" w:color="auto" w:fill="FFFFFF"/>
        </w:rPr>
        <w:t> </w:t>
      </w:r>
      <w:hyperlink r:id="rId14" w:tooltip="Pesca (attività)" w:history="1">
        <w:r w:rsidRPr="00A95D91">
          <w:rPr>
            <w:rStyle w:val="Collegamentoipertestuale"/>
            <w:rFonts w:cs="Arial"/>
            <w:color w:val="auto"/>
            <w:u w:val="none"/>
            <w:shd w:val="clear" w:color="auto" w:fill="FFFFFF"/>
          </w:rPr>
          <w:t>pesca</w:t>
        </w:r>
      </w:hyperlink>
      <w:r w:rsidRPr="00A95D91">
        <w:rPr>
          <w:rFonts w:cs="Arial"/>
          <w:shd w:val="clear" w:color="auto" w:fill="FFFFFF"/>
        </w:rPr>
        <w:t>, in particolare quelli che si affacciano sull'Oceano Pacifico, ne sono i più colpiti, sebbene si ritiene possa avere effetti anche su scala globale</w:t>
      </w:r>
    </w:p>
    <w:p w:rsidR="002D15F6" w:rsidRPr="002D15F6" w:rsidRDefault="008814C9" w:rsidP="008814C9">
      <w:pPr>
        <w:pStyle w:val="Paragrafoelenco"/>
        <w:numPr>
          <w:ilvl w:val="0"/>
          <w:numId w:val="3"/>
        </w:numPr>
        <w:rPr>
          <w:sz w:val="24"/>
          <w:szCs w:val="24"/>
        </w:rPr>
      </w:pPr>
      <w:r w:rsidRPr="002D15F6">
        <w:rPr>
          <w:b/>
          <w:color w:val="000000"/>
          <w:sz w:val="24"/>
          <w:szCs w:val="24"/>
          <w:shd w:val="clear" w:color="auto" w:fill="FFFFFF"/>
        </w:rPr>
        <w:lastRenderedPageBreak/>
        <w:t>I cicloni</w:t>
      </w:r>
      <w:r>
        <w:rPr>
          <w:color w:val="000000"/>
          <w:sz w:val="24"/>
          <w:szCs w:val="24"/>
          <w:shd w:val="clear" w:color="auto" w:fill="FFFFFF"/>
        </w:rPr>
        <w:t xml:space="preserve"> hanno u</w:t>
      </w:r>
      <w:r w:rsidRPr="008814C9">
        <w:rPr>
          <w:color w:val="000000"/>
          <w:sz w:val="24"/>
          <w:szCs w:val="24"/>
          <w:shd w:val="clear" w:color="auto" w:fill="FFFFFF"/>
        </w:rPr>
        <w:t>n diametro di centinaia di chilometri e si formano sugli oceani a cavallo dell’equatore. A seconda di dove si dirigono prendono nomi diversi: uragano (hurricane, negli Usa, da hurican o huracan, voce caraibica che designa il dio del male), willy-willy (in Australia), tifone (typhoon, in Asia), baguyo (nelle Filippine).</w:t>
      </w:r>
    </w:p>
    <w:p w:rsidR="002D15F6" w:rsidRDefault="002D15F6" w:rsidP="002D15F6">
      <w:pPr>
        <w:pStyle w:val="Paragrafoelenco"/>
        <w:rPr>
          <w:b/>
          <w:color w:val="000000"/>
          <w:sz w:val="24"/>
          <w:szCs w:val="24"/>
          <w:shd w:val="clear" w:color="auto" w:fill="FFFFFF"/>
        </w:rPr>
      </w:pPr>
    </w:p>
    <w:p w:rsidR="002D15F6" w:rsidRPr="002D15F6" w:rsidRDefault="002D15F6" w:rsidP="002D15F6">
      <w:pPr>
        <w:pStyle w:val="Paragrafoelenco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scala SAFFIR – SIMPSON misura i cicloni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050"/>
        <w:gridCol w:w="7072"/>
      </w:tblGrid>
      <w:tr w:rsidR="002D15F6" w:rsidRPr="002D15F6" w:rsidTr="002D15F6">
        <w:tc>
          <w:tcPr>
            <w:tcW w:w="150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Categoria</w:t>
            </w:r>
          </w:p>
        </w:tc>
        <w:tc>
          <w:tcPr>
            <w:tcW w:w="1050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Velocità in </w:t>
            </w:r>
            <w:hyperlink r:id="rId15" w:tooltip="Chilometro orario" w:history="1">
              <w:r w:rsidRPr="002D15F6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lang w:eastAsia="it-IT"/>
                </w:rPr>
                <w:t>km/h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Effetti macroscopici</w:t>
            </w:r>
          </w:p>
        </w:tc>
      </w:tr>
      <w:tr w:rsidR="002D15F6" w:rsidRPr="002D15F6" w:rsidTr="002D15F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1</w:t>
            </w: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- </w:t>
            </w:r>
            <w:r w:rsidRPr="002D15F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it-IT"/>
              </w:rPr>
              <w:t>minimo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119-153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Danni tutto sommato limitati a barche, </w:t>
            </w:r>
            <w:hyperlink r:id="rId16" w:tooltip="Albero" w:history="1">
              <w:r w:rsidRPr="002D15F6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it-IT"/>
                </w:rPr>
                <w:t>alberi</w:t>
              </w:r>
            </w:hyperlink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, strutture mobili, insegne, tetti. Possono osservarsi limitate </w:t>
            </w:r>
            <w:hyperlink r:id="rId17" w:tooltip="Alluvioni" w:history="1">
              <w:r w:rsidRPr="002D15F6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it-IT"/>
                </w:rPr>
                <w:t>inondazioni</w:t>
              </w:r>
            </w:hyperlink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nelle zone costiere, con risalite non oltre l'altezza di un </w:t>
            </w:r>
            <w:hyperlink r:id="rId18" w:tooltip="Metro" w:history="1">
              <w:r w:rsidRPr="002D15F6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it-IT"/>
                </w:rPr>
                <w:t>metro</w:t>
              </w:r>
            </w:hyperlink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e mezzo.</w:t>
            </w:r>
          </w:p>
        </w:tc>
      </w:tr>
      <w:tr w:rsidR="002D15F6" w:rsidRPr="002D15F6" w:rsidTr="002D15F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2</w:t>
            </w: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- </w:t>
            </w:r>
            <w:r w:rsidRPr="002D15F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it-IT"/>
              </w:rPr>
              <w:t>moderato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154-177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Danni di una certa rilevanza ad alberi e strutture mobili; danneggiamenti di lieve entità anche agli immobili (finestre, antenne, tetti); le barche rompono gli ormeggi. Nelle zone </w:t>
            </w:r>
            <w:hyperlink r:id="rId19" w:tooltip="Costa" w:history="1">
              <w:r w:rsidRPr="002D15F6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it-IT"/>
                </w:rPr>
                <w:t>costiere</w:t>
              </w:r>
            </w:hyperlink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si possono osservare, a partire da 2-4 </w:t>
            </w:r>
            <w:hyperlink r:id="rId20" w:tooltip="Ora" w:history="1">
              <w:r w:rsidRPr="002D15F6">
                <w:rPr>
                  <w:rFonts w:ascii="Arial" w:eastAsia="Times New Roman" w:hAnsi="Arial" w:cs="Arial"/>
                  <w:color w:val="0B0080"/>
                  <w:sz w:val="21"/>
                  <w:szCs w:val="21"/>
                  <w:lang w:eastAsia="it-IT"/>
                </w:rPr>
                <w:t>ore</w:t>
              </w:r>
            </w:hyperlink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prima del </w:t>
            </w:r>
            <w:hyperlink r:id="rId21" w:tooltip="Landfall" w:history="1">
              <w:r w:rsidRPr="002D15F6">
                <w:rPr>
                  <w:rFonts w:ascii="Arial" w:eastAsia="Times New Roman" w:hAnsi="Arial" w:cs="Arial"/>
                  <w:i/>
                  <w:iCs/>
                  <w:color w:val="0B0080"/>
                  <w:sz w:val="21"/>
                  <w:szCs w:val="21"/>
                  <w:lang w:eastAsia="it-IT"/>
                </w:rPr>
                <w:t>landfall</w:t>
              </w:r>
            </w:hyperlink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, inondazioni con acque fino a 2,5 metri oltre il livello medio. Può richiedersi l'evacuazione dei residenti delle zone costiere più basse.</w:t>
            </w:r>
          </w:p>
        </w:tc>
      </w:tr>
      <w:tr w:rsidR="002D15F6" w:rsidRPr="002D15F6" w:rsidTr="002D15F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3</w:t>
            </w: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- </w:t>
            </w:r>
            <w:r w:rsidRPr="002D15F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it-IT"/>
              </w:rPr>
              <w:t>forte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178-208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Grandi alberi abbattuti, distruzione di strutture mobili, danni di una certa rilevanza alle case. Le basse zone costiere vengono interessate, 3/5 ore prima dell'approssimarsi del centro del ciclone, da inondazioni con acqua fino a 4 metri oltre il normale livello. Richiede l'evacuazione dei residenti delle zone costiere.</w:t>
            </w:r>
          </w:p>
        </w:tc>
      </w:tr>
      <w:tr w:rsidR="002D15F6" w:rsidRPr="002D15F6" w:rsidTr="002D15F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4</w:t>
            </w: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- </w:t>
            </w:r>
            <w:r w:rsidRPr="002D15F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it-IT"/>
              </w:rPr>
              <w:t>fortissimo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209-251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Gravi danni agli edifici (tetto e muri portanti); Alberi, cespugli, insegne e cartelli stradali vengono abbattuti. Le inondazioni delle aree costiere possono presentarsi anche 5 ore prima del </w:t>
            </w:r>
            <w:r w:rsidRPr="002D15F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it-IT"/>
              </w:rPr>
              <w:t>landfall</w:t>
            </w: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del centro del ciclone, raggiungendo altezze prossime a 6 metri oltre il livello medio. Evacuazioni dei residenti delle zone costiere, fino a una decina di chilometri nell'entroterra.</w:t>
            </w:r>
          </w:p>
        </w:tc>
      </w:tr>
      <w:tr w:rsidR="002D15F6" w:rsidRPr="002D15F6" w:rsidTr="002D15F6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it-IT"/>
              </w:rPr>
              <w:t>5</w:t>
            </w: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 - </w:t>
            </w:r>
            <w:r w:rsidRPr="002D15F6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it-IT"/>
              </w:rPr>
              <w:t>disastroso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&gt;252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2D15F6" w:rsidRPr="002D15F6" w:rsidRDefault="002D15F6" w:rsidP="002D15F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</w:pPr>
            <w:r w:rsidRPr="002D15F6">
              <w:rPr>
                <w:rFonts w:ascii="Arial" w:eastAsia="Times New Roman" w:hAnsi="Arial" w:cs="Arial"/>
                <w:color w:val="000000"/>
                <w:sz w:val="21"/>
                <w:szCs w:val="21"/>
                <w:lang w:eastAsia="it-IT"/>
              </w:rPr>
              <w:t>Danni gravissimi agli edifici, che possono anche portare al loro abbattimento; completa distruzione di tutte le strutture mobili e completo abbattimento di alberi, insegne, cartelli stradali. Estese inondazioni nelle zone costiere, che possono superare l'altezza di 6 metri oltre il livello normale; si richiede perciò l'evacuazione massiva di tutti i residenti delle zone costiere pianeggianti, fino a 16 km nell'entroterra.</w:t>
            </w:r>
          </w:p>
        </w:tc>
      </w:tr>
    </w:tbl>
    <w:p w:rsidR="00B84986" w:rsidRDefault="00B84986" w:rsidP="00B84986">
      <w:pPr>
        <w:pStyle w:val="Paragrafoelenco"/>
        <w:rPr>
          <w:color w:val="000000"/>
          <w:sz w:val="24"/>
          <w:szCs w:val="24"/>
        </w:rPr>
      </w:pPr>
    </w:p>
    <w:p w:rsidR="0058111F" w:rsidRPr="0058111F" w:rsidRDefault="00B84986" w:rsidP="0058111F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8111F">
        <w:rPr>
          <w:b/>
          <w:color w:val="000000"/>
          <w:sz w:val="24"/>
          <w:szCs w:val="24"/>
        </w:rPr>
        <w:t>Epicentro</w:t>
      </w:r>
      <w:r>
        <w:rPr>
          <w:color w:val="000000"/>
          <w:sz w:val="24"/>
          <w:szCs w:val="24"/>
        </w:rPr>
        <w:t xml:space="preserve">: </w:t>
      </w:r>
      <w:r w:rsidR="0058111F">
        <w:rPr>
          <w:color w:val="000000"/>
          <w:sz w:val="24"/>
          <w:szCs w:val="24"/>
        </w:rPr>
        <w:t>vedi immagine</w:t>
      </w:r>
    </w:p>
    <w:p w:rsidR="0058111F" w:rsidRPr="0058111F" w:rsidRDefault="0058111F" w:rsidP="0058111F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8111F">
        <w:rPr>
          <w:b/>
          <w:color w:val="000000"/>
          <w:sz w:val="24"/>
          <w:szCs w:val="24"/>
        </w:rPr>
        <w:t>Scala Richter</w:t>
      </w:r>
      <w:r>
        <w:rPr>
          <w:color w:val="000000"/>
          <w:sz w:val="24"/>
          <w:szCs w:val="24"/>
        </w:rPr>
        <w:t xml:space="preserve"> di magnitudo: vedi immagine </w:t>
      </w:r>
    </w:p>
    <w:p w:rsidR="00911E42" w:rsidRPr="008814C9" w:rsidRDefault="0058111F" w:rsidP="0058111F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58111F">
        <w:rPr>
          <w:b/>
          <w:color w:val="000000"/>
          <w:sz w:val="24"/>
          <w:szCs w:val="24"/>
        </w:rPr>
        <w:lastRenderedPageBreak/>
        <w:t>Rifugiati e richiedenti asilo</w:t>
      </w:r>
      <w:r>
        <w:rPr>
          <w:color w:val="000000"/>
          <w:sz w:val="24"/>
          <w:szCs w:val="24"/>
        </w:rPr>
        <w:t xml:space="preserve"> sono termini usati spesso come sinonimi, ma non lo sono. Un </w:t>
      </w:r>
      <w:r w:rsidRPr="0058111F">
        <w:rPr>
          <w:b/>
          <w:color w:val="000000"/>
          <w:sz w:val="24"/>
          <w:szCs w:val="24"/>
        </w:rPr>
        <w:t>richiedente asilo</w:t>
      </w:r>
      <w:r>
        <w:rPr>
          <w:color w:val="000000"/>
          <w:sz w:val="24"/>
          <w:szCs w:val="24"/>
        </w:rPr>
        <w:t xml:space="preserve"> </w:t>
      </w:r>
      <w:r w:rsidRPr="0058111F">
        <w:rPr>
          <w:color w:val="000000"/>
          <w:sz w:val="24"/>
          <w:szCs w:val="24"/>
        </w:rPr>
        <w:t xml:space="preserve">è colui che è fuori dal proprio paese e presenta, in un altro stato, domanda di asilo per il riconoscimento dello </w:t>
      </w:r>
      <w:r w:rsidRPr="0058111F">
        <w:rPr>
          <w:i/>
          <w:color w:val="000000"/>
          <w:sz w:val="24"/>
          <w:szCs w:val="24"/>
        </w:rPr>
        <w:t>status di rifugiato</w:t>
      </w:r>
      <w:r w:rsidRPr="0058111F">
        <w:rPr>
          <w:color w:val="000000"/>
          <w:sz w:val="24"/>
          <w:szCs w:val="24"/>
        </w:rPr>
        <w:t xml:space="preserve"> in base alla Convenzione di Ginevra sui rifugiati del 1951, o per ottenere altre forme di protezione internazionale.</w:t>
      </w:r>
      <w:r>
        <w:rPr>
          <w:color w:val="000000"/>
          <w:sz w:val="24"/>
          <w:szCs w:val="24"/>
        </w:rPr>
        <w:t xml:space="preserve"> Un rifugiato è colui al quale è stato riconosciuto tale status.</w:t>
      </w:r>
      <w:r w:rsidR="00911E42" w:rsidRPr="008814C9">
        <w:rPr>
          <w:color w:val="000000"/>
          <w:sz w:val="24"/>
          <w:szCs w:val="24"/>
        </w:rPr>
        <w:br/>
      </w:r>
    </w:p>
    <w:p w:rsidR="00AD21F5" w:rsidRPr="00AD21F5" w:rsidRDefault="00AD21F5">
      <w:pPr>
        <w:rPr>
          <w:sz w:val="28"/>
          <w:szCs w:val="28"/>
        </w:rPr>
      </w:pPr>
    </w:p>
    <w:sectPr w:rsidR="00AD21F5" w:rsidRPr="00AD21F5">
      <w:head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D61" w:rsidRDefault="00347D61" w:rsidP="00AD21F5">
      <w:pPr>
        <w:spacing w:after="0" w:line="240" w:lineRule="auto"/>
      </w:pPr>
      <w:r>
        <w:separator/>
      </w:r>
    </w:p>
  </w:endnote>
  <w:endnote w:type="continuationSeparator" w:id="0">
    <w:p w:rsidR="00347D61" w:rsidRDefault="00347D61" w:rsidP="00AD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D61" w:rsidRDefault="00347D61" w:rsidP="00AD21F5">
      <w:pPr>
        <w:spacing w:after="0" w:line="240" w:lineRule="auto"/>
      </w:pPr>
      <w:r>
        <w:separator/>
      </w:r>
    </w:p>
  </w:footnote>
  <w:footnote w:type="continuationSeparator" w:id="0">
    <w:p w:rsidR="00347D61" w:rsidRDefault="00347D61" w:rsidP="00AD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F5" w:rsidRDefault="00AD21F5">
    <w:pPr>
      <w:pStyle w:val="Intestazione"/>
    </w:pPr>
    <w:r>
      <w:t xml:space="preserve">                                                               </w:t>
    </w:r>
    <w:r>
      <w:rPr>
        <w:noProof/>
        <w:lang w:eastAsia="it-IT"/>
      </w:rPr>
      <w:drawing>
        <wp:inline distT="0" distB="0" distL="0" distR="0" wp14:anchorId="57D0F5FF" wp14:editId="067A2E8D">
          <wp:extent cx="2049517" cy="908485"/>
          <wp:effectExtent l="0" t="0" r="8255" b="6350"/>
          <wp:docPr id="2" name="Immagine 2" descr="C:\Users\stefano.alacqua\Dropbox\DON'T WASTE OUR FUTURE\Partners' Logos\oxfam_log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fano.alacqua\Dropbox\DON'T WASTE OUR FUTURE\Partners' Logos\oxfam_logo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517" cy="90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6AE"/>
    <w:multiLevelType w:val="hybridMultilevel"/>
    <w:tmpl w:val="1CBCB3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61F30"/>
    <w:multiLevelType w:val="hybridMultilevel"/>
    <w:tmpl w:val="49549B9C"/>
    <w:lvl w:ilvl="0" w:tplc="04100019">
      <w:start w:val="1"/>
      <w:numFmt w:val="lowerLetter"/>
      <w:lvlText w:val="%1."/>
      <w:lvlJc w:val="left"/>
      <w:pPr>
        <w:ind w:left="1415" w:hanging="360"/>
      </w:pPr>
    </w:lvl>
    <w:lvl w:ilvl="1" w:tplc="04100019" w:tentative="1">
      <w:start w:val="1"/>
      <w:numFmt w:val="lowerLetter"/>
      <w:lvlText w:val="%2."/>
      <w:lvlJc w:val="left"/>
      <w:pPr>
        <w:ind w:left="2135" w:hanging="360"/>
      </w:pPr>
    </w:lvl>
    <w:lvl w:ilvl="2" w:tplc="0410001B" w:tentative="1">
      <w:start w:val="1"/>
      <w:numFmt w:val="lowerRoman"/>
      <w:lvlText w:val="%3."/>
      <w:lvlJc w:val="right"/>
      <w:pPr>
        <w:ind w:left="2855" w:hanging="180"/>
      </w:pPr>
    </w:lvl>
    <w:lvl w:ilvl="3" w:tplc="0410000F" w:tentative="1">
      <w:start w:val="1"/>
      <w:numFmt w:val="decimal"/>
      <w:lvlText w:val="%4."/>
      <w:lvlJc w:val="left"/>
      <w:pPr>
        <w:ind w:left="3575" w:hanging="360"/>
      </w:pPr>
    </w:lvl>
    <w:lvl w:ilvl="4" w:tplc="04100019" w:tentative="1">
      <w:start w:val="1"/>
      <w:numFmt w:val="lowerLetter"/>
      <w:lvlText w:val="%5."/>
      <w:lvlJc w:val="left"/>
      <w:pPr>
        <w:ind w:left="4295" w:hanging="360"/>
      </w:pPr>
    </w:lvl>
    <w:lvl w:ilvl="5" w:tplc="0410001B" w:tentative="1">
      <w:start w:val="1"/>
      <w:numFmt w:val="lowerRoman"/>
      <w:lvlText w:val="%6."/>
      <w:lvlJc w:val="right"/>
      <w:pPr>
        <w:ind w:left="5015" w:hanging="180"/>
      </w:pPr>
    </w:lvl>
    <w:lvl w:ilvl="6" w:tplc="0410000F" w:tentative="1">
      <w:start w:val="1"/>
      <w:numFmt w:val="decimal"/>
      <w:lvlText w:val="%7."/>
      <w:lvlJc w:val="left"/>
      <w:pPr>
        <w:ind w:left="5735" w:hanging="360"/>
      </w:pPr>
    </w:lvl>
    <w:lvl w:ilvl="7" w:tplc="04100019" w:tentative="1">
      <w:start w:val="1"/>
      <w:numFmt w:val="lowerLetter"/>
      <w:lvlText w:val="%8."/>
      <w:lvlJc w:val="left"/>
      <w:pPr>
        <w:ind w:left="6455" w:hanging="360"/>
      </w:pPr>
    </w:lvl>
    <w:lvl w:ilvl="8" w:tplc="0410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56AF3D9E"/>
    <w:multiLevelType w:val="hybridMultilevel"/>
    <w:tmpl w:val="41D88778"/>
    <w:lvl w:ilvl="0" w:tplc="57805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73564"/>
    <w:multiLevelType w:val="hybridMultilevel"/>
    <w:tmpl w:val="6FCA2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F5"/>
    <w:rsid w:val="000F4EB7"/>
    <w:rsid w:val="001C17AA"/>
    <w:rsid w:val="00237261"/>
    <w:rsid w:val="002D15F6"/>
    <w:rsid w:val="00347D61"/>
    <w:rsid w:val="003E271D"/>
    <w:rsid w:val="003F1642"/>
    <w:rsid w:val="004525EF"/>
    <w:rsid w:val="00496E8E"/>
    <w:rsid w:val="004979A9"/>
    <w:rsid w:val="0058111F"/>
    <w:rsid w:val="00596EC0"/>
    <w:rsid w:val="005C2F96"/>
    <w:rsid w:val="008814C9"/>
    <w:rsid w:val="00911E42"/>
    <w:rsid w:val="00967BAB"/>
    <w:rsid w:val="00A81B39"/>
    <w:rsid w:val="00A95D91"/>
    <w:rsid w:val="00AD21F5"/>
    <w:rsid w:val="00B1517B"/>
    <w:rsid w:val="00B8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76F42-ED81-4797-B5E6-28270918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F5"/>
  </w:style>
  <w:style w:type="paragraph" w:styleId="Pidipagina">
    <w:name w:val="footer"/>
    <w:basedOn w:val="Normale"/>
    <w:link w:val="Pidipagina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F5"/>
  </w:style>
  <w:style w:type="paragraph" w:styleId="Paragrafoelenco">
    <w:name w:val="List Paragraph"/>
    <w:basedOn w:val="Normale"/>
    <w:uiPriority w:val="34"/>
    <w:qFormat/>
    <w:rsid w:val="00911E42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911E42"/>
    <w:rPr>
      <w:i/>
      <w:iCs/>
    </w:rPr>
  </w:style>
  <w:style w:type="character" w:customStyle="1" w:styleId="apple-converted-space">
    <w:name w:val="apple-converted-space"/>
    <w:basedOn w:val="Carpredefinitoparagrafo"/>
    <w:rsid w:val="00A95D91"/>
  </w:style>
  <w:style w:type="character" w:styleId="Collegamentoipertestuale">
    <w:name w:val="Hyperlink"/>
    <w:basedOn w:val="Carpredefinitoparagrafo"/>
    <w:uiPriority w:val="99"/>
    <w:semiHidden/>
    <w:unhideWhenUsed/>
    <w:rsid w:val="00A95D9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814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Oceano_Pacifico" TargetMode="External"/><Relationship Id="rId13" Type="http://schemas.openxmlformats.org/officeDocument/2006/relationships/hyperlink" Target="https://it.wikipedia.org/wiki/Agricoltura" TargetMode="External"/><Relationship Id="rId18" Type="http://schemas.openxmlformats.org/officeDocument/2006/relationships/hyperlink" Target="https://it.wikipedia.org/wiki/Metr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Landfall" TargetMode="External"/><Relationship Id="rId7" Type="http://schemas.openxmlformats.org/officeDocument/2006/relationships/hyperlink" Target="https://it.wikipedia.org/wiki/Climatologia" TargetMode="External"/><Relationship Id="rId12" Type="http://schemas.openxmlformats.org/officeDocument/2006/relationships/hyperlink" Target="https://it.wikipedia.org/wiki/Perturbazione_(meteorologia)" TargetMode="External"/><Relationship Id="rId17" Type="http://schemas.openxmlformats.org/officeDocument/2006/relationships/hyperlink" Target="https://it.wikipedia.org/wiki/Alluvio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Albero" TargetMode="External"/><Relationship Id="rId20" Type="http://schemas.openxmlformats.org/officeDocument/2006/relationships/hyperlink" Target="https://it.wikipedia.org/wiki/Or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.wikipedia.org/wiki/Siccit%C3%A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t.wikipedia.org/wiki/Chilometro_orari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t.wikipedia.org/wiki/Inondazione" TargetMode="External"/><Relationship Id="rId19" Type="http://schemas.openxmlformats.org/officeDocument/2006/relationships/hyperlink" Target="https://it.wikipedia.org/wiki/Co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America_Latina" TargetMode="External"/><Relationship Id="rId14" Type="http://schemas.openxmlformats.org/officeDocument/2006/relationships/hyperlink" Target="https://it.wikipedia.org/wiki/Pesca_(attivit%C3%A0)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Alacqua</dc:creator>
  <cp:keywords/>
  <dc:description/>
  <cp:lastModifiedBy>Stefano Alacqua</cp:lastModifiedBy>
  <cp:revision>9</cp:revision>
  <dcterms:created xsi:type="dcterms:W3CDTF">2017-02-12T21:26:00Z</dcterms:created>
  <dcterms:modified xsi:type="dcterms:W3CDTF">2017-02-12T22:15:00Z</dcterms:modified>
</cp:coreProperties>
</file>